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290" w:lineRule="atLeast"/>
        <w:textAlignment w:val="center"/>
        <w:rPr>
          <w:rFonts w:hint="eastAsia" w:cs="ATC-7f579a6c5b8b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ATC-7f579a6c5b8b" w:asciiTheme="minorEastAsia" w:hAnsiTheme="minorEastAsia"/>
          <w:color w:val="000000"/>
          <w:kern w:val="0"/>
          <w:sz w:val="28"/>
          <w:szCs w:val="28"/>
          <w:lang w:val="zh-CN"/>
        </w:rPr>
        <w:t>附件</w:t>
      </w:r>
      <w:r>
        <w:rPr>
          <w:rFonts w:hint="eastAsia" w:cs="ATC-7f579a6c5b8b" w:asciiTheme="minorEastAsia" w:hAnsiTheme="minorEastAsia"/>
          <w:color w:val="000000"/>
          <w:kern w:val="0"/>
          <w:sz w:val="28"/>
          <w:szCs w:val="28"/>
          <w:lang w:val="en-US" w:eastAsia="zh-CN"/>
        </w:rPr>
        <w:t>3</w:t>
      </w:r>
    </w:p>
    <w:p>
      <w:pPr>
        <w:autoSpaceDE w:val="0"/>
        <w:autoSpaceDN w:val="0"/>
        <w:adjustRightInd w:val="0"/>
        <w:spacing w:line="290" w:lineRule="atLeast"/>
        <w:textAlignment w:val="center"/>
        <w:rPr>
          <w:rFonts w:ascii="ATC-7f579a6c5b8b" w:eastAsia="ATC-7f579a6c5b8b" w:cs="ATC-7f579a6c5b8b"/>
          <w:color w:val="000000"/>
          <w:kern w:val="0"/>
          <w:sz w:val="19"/>
          <w:szCs w:val="19"/>
          <w:lang w:val="zh-CN"/>
        </w:rPr>
      </w:pPr>
    </w:p>
    <w:p>
      <w:pPr>
        <w:autoSpaceDE w:val="0"/>
        <w:autoSpaceDN w:val="0"/>
        <w:adjustRightInd w:val="0"/>
        <w:spacing w:before="113" w:after="113" w:line="300" w:lineRule="atLeast"/>
        <w:jc w:val="center"/>
        <w:textAlignment w:val="center"/>
        <w:rPr>
          <w:rFonts w:ascii="黑体" w:eastAsia="黑体" w:cs="黑体"/>
          <w:color w:val="000000"/>
          <w:kern w:val="0"/>
          <w:sz w:val="24"/>
          <w:szCs w:val="24"/>
          <w:lang w:val="zh-CN"/>
        </w:rPr>
      </w:pPr>
      <w:r>
        <w:rPr>
          <w:rFonts w:hint="eastAsia" w:ascii="黑体" w:eastAsia="黑体" w:cs="黑体"/>
          <w:color w:val="000000"/>
          <w:kern w:val="0"/>
          <w:sz w:val="24"/>
          <w:szCs w:val="24"/>
          <w:lang w:val="zh-CN"/>
        </w:rPr>
        <w:t>苏州市各级劳动关系和谐企业申报复评咨询电话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49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Header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服务机构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苏州市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hint="default" w:cs="ATC-7f579a6c5b8b" w:asciiTheme="minorEastAsia" w:hAnsiTheme="minorEastAsia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spacing w:val="-7"/>
                <w:kern w:val="0"/>
                <w:sz w:val="24"/>
                <w:szCs w:val="24"/>
                <w:lang w:val="en-US" w:eastAsia="zh-CN"/>
              </w:rPr>
              <w:t>69820165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姑苏区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65336728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吴中区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68561933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相城区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65781970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高新区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68750790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工业园区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62882770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吴江区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63950065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张家港市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bookmarkStart w:id="0" w:name="_GoBack"/>
            <w:bookmarkEnd w:id="0"/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 xml:space="preserve">55390679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常熟市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52710587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太仓市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53573796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昆山市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57577469</w:t>
            </w:r>
          </w:p>
        </w:tc>
      </w:tr>
    </w:tbl>
    <w:p>
      <w:pPr>
        <w:autoSpaceDE w:val="0"/>
        <w:autoSpaceDN w:val="0"/>
        <w:adjustRightInd w:val="0"/>
        <w:spacing w:line="290" w:lineRule="atLeast"/>
        <w:textAlignment w:val="center"/>
        <w:rPr>
          <w:rFonts w:ascii="ATC-7f579a6c5b8b" w:eastAsia="ATC-7f579a6c5b8b" w:cs="ATC-7f579a6c5b8b"/>
          <w:color w:val="000000"/>
          <w:kern w:val="0"/>
          <w:sz w:val="19"/>
          <w:szCs w:val="1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TC-7f579a6c5b8b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80CB8"/>
    <w:rsid w:val="2A0E342E"/>
    <w:rsid w:val="2F690E5B"/>
    <w:rsid w:val="3B7F0425"/>
    <w:rsid w:val="4DE76432"/>
    <w:rsid w:val="67680CB8"/>
    <w:rsid w:val="6984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2021-03-18T06:01:00Z</dcterms:created>
  <dc:creator>奔波儿霸</dc:creator>
  <cp:lastModifiedBy>奔波儿霸</cp:lastModifiedBy>
  <dcterms:modified xsi:type="dcterms:W3CDTF">2022-03-21T06:07:26Z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16CFEC4D5CDA45128AF26BD7A312504D</vt:lpwstr>
  </property>
</Properties>
</file>